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Tequila Fiesta</w:t>
      </w:r>
      <w:r>
        <w:rPr>
          <w:color w:val="212121"/>
          <w:highlight w:val="white"/>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Dia de la Raza for mexicans is a day full of joy, everyone is preparing for a big fiesta. You have become the legendary mariachi Abelardo and the fans are waiting for your performance. With each played chord on the banjo try to make the largest avalanche. With each subsequent match of chord, the multiplier of the win increases. Do you have Tequila Fiesta™ in your heart? Enjoy it, not only at Dia de la Raza!</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rPr/>
      </w:pPr>
      <w:r>
        <w:rPr>
          <w:sz w:val="24"/>
          <w:szCs w:val="24"/>
        </w:rPr>
        <w:t>Exciting Mexican party is waiting for you in Tequila Fiesta™ video slot. Try slot game for free and feel Mexican atmosphere by winning on 20 paylines. Look for the Bonus Symbol which can trigger 12 Free Spins and give you many opportunities for high winnings. After every win you can have a tequila shot, because cascade multiplier will increase you winnings.</w:t>
      </w:r>
    </w:p>
    <w:p>
      <w:pPr>
        <w:pStyle w:val="Normal"/>
        <w:spacing w:lineRule="auto" w:line="360" w:before="0" w:after="0"/>
        <w:contextualSpacing/>
        <w:rPr/>
      </w:pPr>
      <w:r>
        <w:rPr>
          <w:color w:val="212121"/>
          <w:sz w:val="24"/>
          <w:szCs w:val="24"/>
        </w:rPr>
        <w:t>Tequila Fiesta™ cascade video slot have 5-reels, 3-rows and 20 fixed paylines. Slot game includes Free Games, Wild Symbol, Bonus Symbol and Gamble mode. It’s possible to play in Autostart mode.</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LOnormal"/>
        <w:spacing w:lineRule="auto" w:line="360" w:before="0" w:after="0"/>
        <w:contextualSpacing/>
        <w:rPr/>
      </w:pPr>
      <w:r>
        <w:rPr>
          <w:b/>
          <w:bCs/>
          <w:color w:val="212121"/>
          <w:sz w:val="28"/>
          <w:szCs w:val="28"/>
          <w:highlight w:val="white"/>
          <w:lang w:val="en-US"/>
        </w:rPr>
        <w:t>Game phrases</w:t>
      </w:r>
    </w:p>
    <w:p>
      <w:pPr>
        <w:pStyle w:val="Normal"/>
        <w:numPr>
          <w:ilvl w:val="0"/>
          <w:numId w:val="1"/>
        </w:numPr>
        <w:spacing w:lineRule="auto" w:line="360"/>
        <w:ind w:left="720" w:hanging="360"/>
        <w:rPr/>
      </w:pPr>
      <w:r>
        <w:rPr>
          <w:sz w:val="24"/>
          <w:szCs w:val="24"/>
        </w:rPr>
        <w:t>Delicious Mexican food and great music.</w:t>
      </w:r>
    </w:p>
    <w:p>
      <w:pPr>
        <w:pStyle w:val="Normal"/>
        <w:numPr>
          <w:ilvl w:val="0"/>
          <w:numId w:val="1"/>
        </w:numPr>
        <w:spacing w:lineRule="auto" w:line="360"/>
        <w:ind w:left="720" w:hanging="360"/>
        <w:rPr/>
      </w:pPr>
      <w:r>
        <w:rPr>
          <w:sz w:val="24"/>
          <w:szCs w:val="24"/>
        </w:rPr>
        <w:t>Everybody are waiting for the performance of Abelardo, play now!</w:t>
      </w:r>
    </w:p>
    <w:p>
      <w:pPr>
        <w:pStyle w:val="Normal"/>
        <w:numPr>
          <w:ilvl w:val="0"/>
          <w:numId w:val="1"/>
        </w:numPr>
        <w:spacing w:lineRule="auto" w:line="360"/>
        <w:ind w:left="720" w:hanging="360"/>
        <w:rPr/>
      </w:pPr>
      <w:r>
        <w:rPr>
          <w:sz w:val="24"/>
          <w:szCs w:val="24"/>
        </w:rPr>
        <w:t>Tequila Fiesta™ has already started, so spin the drum and enjoy great fun.</w:t>
      </w:r>
    </w:p>
    <w:p>
      <w:pPr>
        <w:pStyle w:val="Normal"/>
        <w:numPr>
          <w:ilvl w:val="0"/>
          <w:numId w:val="1"/>
        </w:numPr>
        <w:spacing w:lineRule="auto" w:line="360"/>
        <w:ind w:left="720" w:hanging="360"/>
        <w:rPr/>
      </w:pPr>
      <w:r>
        <w:rPr>
          <w:sz w:val="24"/>
          <w:szCs w:val="24"/>
        </w:rPr>
        <w:t>Is the Mexican fiesta in your heart?</w:t>
      </w:r>
    </w:p>
    <w:p>
      <w:pPr>
        <w:pStyle w:val="Normal"/>
        <w:numPr>
          <w:ilvl w:val="0"/>
          <w:numId w:val="1"/>
        </w:numPr>
        <w:spacing w:lineRule="auto" w:line="360"/>
        <w:ind w:left="720" w:hanging="360"/>
        <w:rPr/>
      </w:pPr>
      <w:r>
        <w:rPr>
          <w:color w:val="212121"/>
          <w:sz w:val="24"/>
          <w:szCs w:val="24"/>
          <w:highlight w:val="white"/>
          <w:lang w:val="en-US"/>
        </w:rPr>
        <w:t>Beautiful Abella can make your dreams come true.</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8465" cy="261620"/>
              <wp:effectExtent l="0" t="0" r="0" b="0"/>
              <wp:wrapNone/>
              <wp:docPr id="2" name="Obraz1"/>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5pt;height:20.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Application>LibreOffice/6.1.3.2$Windows_x86 LibreOffice_project/86daf60bf00efa86ad547e59e09d6bb77c699acb</Application>
  <Pages>1</Pages>
  <Words>226</Words>
  <Characters>1095</Characters>
  <CharactersWithSpaces>1303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2018-11-28T15:39:04Z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