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St</w:t>
      </w:r>
      <w:r>
        <w:rPr>
          <w:lang w:val="en-US"/>
        </w:rPr>
        <w:t>ar</w:t>
      </w:r>
      <w:r>
        <w:rPr>
          <w:lang w:val="en-US"/>
        </w:rPr>
        <w:t xml:space="preserve"> S</w:t>
      </w:r>
      <w:r>
        <w:rPr>
          <w:lang w:val="en-US"/>
        </w:rPr>
        <w:t>ettler</w:t>
      </w:r>
      <w:r>
        <w:rPr>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sz w:val="24"/>
          <w:szCs w:val="24"/>
        </w:rPr>
      </w:pPr>
      <w:bookmarkStart w:id="2" w:name="docs-internal-guid-f5a26233-7fff-1d94-af"/>
      <w:bookmarkEnd w:id="2"/>
      <w:r>
        <w:rPr>
          <w:rFonts w:ascii="Arial" w:hAnsi="Arial"/>
          <w:b w:val="false"/>
          <w:i w:val="false"/>
          <w:caps w:val="false"/>
          <w:smallCaps w:val="false"/>
          <w:strike w:val="false"/>
          <w:dstrike w:val="false"/>
          <w:color w:val="000000"/>
          <w:sz w:val="24"/>
          <w:szCs w:val="24"/>
          <w:highlight w:val="white"/>
          <w:u w:val="none"/>
          <w:effect w:val="none"/>
          <w:lang w:val="en-US"/>
        </w:rPr>
        <w:t>Blast-off to the skies and discover what lies on the planets above in Star Settler™. Guide your spaceship through the reels and you may discover astronomical artifacts such as hidden multipliers and Free Spins. Keep an eye out for the astronaut Expanding Wild and intergalactic Scatter symbols for Bonus Spins with Hot and Cold Wilds.</w:t>
      </w:r>
      <w:r>
        <w:rPr>
          <w:color w:val="212121"/>
          <w:sz w:val="24"/>
          <w:szCs w:val="24"/>
          <w:highlight w:val="white"/>
          <w:lang w:val="en-US"/>
        </w:rPr>
        <w:t xml:space="preserve"> </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Tretekstu"/>
        <w:spacing w:lineRule="auto" w:line="360" w:before="0" w:after="0"/>
        <w:contextualSpacing/>
        <w:jc w:val="both"/>
        <w:rPr>
          <w:rFonts w:ascii="Arial" w:hAnsi="Arial"/>
          <w:b w:val="false"/>
          <w:i w:val="false"/>
          <w:caps w:val="false"/>
          <w:smallCaps w:val="false"/>
          <w:strike w:val="false"/>
          <w:dstrike w:val="false"/>
          <w:color w:val="000000"/>
          <w:sz w:val="24"/>
          <w:szCs w:val="24"/>
          <w:u w:val="none"/>
          <w:effect w:val="none"/>
        </w:rPr>
      </w:pPr>
      <w:bookmarkStart w:id="3" w:name="docs-internal-guid-8f45f4c9-7fff-55b4-4a"/>
      <w:bookmarkEnd w:id="3"/>
      <w:r>
        <w:rPr>
          <w:rFonts w:ascii="Arial" w:hAnsi="Arial"/>
          <w:b w:val="false"/>
          <w:i w:val="false"/>
          <w:caps w:val="false"/>
          <w:smallCaps w:val="false"/>
          <w:strike w:val="false"/>
          <w:dstrike w:val="false"/>
          <w:color w:val="212121"/>
          <w:sz w:val="24"/>
          <w:szCs w:val="24"/>
          <w:highlight w:val="white"/>
          <w:u w:val="none"/>
          <w:effect w:val="none"/>
          <w:lang w:val="en-US"/>
        </w:rPr>
        <w:t>Star Settler™ is taking you on an intergalactic journey into the spacetastic reels to discover new galaxies that offer extra bonuses. Unleash your inner astronaut and scavenge for the mysterious blue planet to receive 3x your winnings.</w:t>
      </w:r>
    </w:p>
    <w:p>
      <w:pPr>
        <w:pStyle w:val="Tretekstu"/>
        <w:bidi w:val="0"/>
        <w:spacing w:lineRule="auto" w:line="360" w:before="0" w:after="0"/>
        <w:rPr>
          <w:sz w:val="24"/>
          <w:szCs w:val="24"/>
        </w:rPr>
      </w:pPr>
      <w:r>
        <w:rPr>
          <w:rFonts w:ascii="Arial" w:hAnsi="Arial"/>
          <w:b w:val="false"/>
          <w:i w:val="false"/>
          <w:caps w:val="false"/>
          <w:smallCaps w:val="false"/>
          <w:strike w:val="false"/>
          <w:dstrike w:val="false"/>
          <w:color w:val="000000"/>
          <w:sz w:val="24"/>
          <w:szCs w:val="24"/>
          <w:u w:val="none"/>
          <w:effect w:val="none"/>
        </w:rPr>
        <w:t>Star Settler™ is a 5-reel, 3-row video slot with 20 paylines. Landing Bonus symbols trigger the Pick-and-Click function where you can potentially find a 50x Win Multiplier. Keep an eye out for Scatters that bring Bonus Spins with Hot and Cold Wilds.</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rPr>
      </w:pPr>
      <w:bookmarkStart w:id="4" w:name="docs-internal-guid-0383652a-7fff-7dd5-0b"/>
      <w:bookmarkEnd w:id="4"/>
      <w:r>
        <w:rPr>
          <w:rFonts w:ascii="Arial" w:hAnsi="Arial"/>
          <w:b w:val="false"/>
          <w:i w:val="false"/>
          <w:caps w:val="false"/>
          <w:smallCaps w:val="false"/>
          <w:strike w:val="false"/>
          <w:dstrike w:val="false"/>
          <w:color w:val="212121"/>
          <w:sz w:val="24"/>
          <w:szCs w:val="24"/>
          <w:highlight w:val="white"/>
          <w:u w:val="none"/>
          <w:effect w:val="none"/>
          <w:lang w:val="en-US"/>
        </w:rPr>
        <w:t>Conquer outer Space with Star Settler™!</w:t>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Discover new galaxies and collect bonuses.</w:t>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Spin the reels of an intergalactic video slot.</w:t>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Take-off with Star Settler™ and claim astronomical rewards.</w:t>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Discover the mysteries that lie in the cosmos with Star Settler™.</w:t>
      </w:r>
    </w:p>
    <w:p>
      <w:pPr>
        <w:pStyle w:val="Tretekstu"/>
        <w:rPr/>
      </w:pPr>
      <w:r>
        <w:rPr/>
        <w:br/>
      </w:r>
    </w:p>
    <w:p>
      <w:pPr>
        <w:pStyle w:val="LOnormal"/>
        <w:spacing w:before="0" w:after="0"/>
        <w:contextualSpacing/>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auto"/>
    <w:pitch w:val="default"/>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9100" cy="262255"/>
              <wp:effectExtent l="0" t="0" r="0" b="0"/>
              <wp:wrapNone/>
              <wp:docPr id="2" name="Obraz1"/>
              <a:graphic xmlns:a="http://schemas.openxmlformats.org/drawingml/2006/main">
                <a:graphicData uri="http://schemas.microsoft.com/office/word/2010/wordprocessingShape">
                  <wps:wsp>
                    <wps:cNvSpPr/>
                    <wps:spPr>
                      <a:xfrm>
                        <a:off x="0" y="0"/>
                        <a:ext cx="1688400" cy="26172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9pt;height:20.5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character" w:styleId="ListLabel72">
    <w:name w:val="ListLabel 72"/>
    <w:qFormat/>
    <w:rPr>
      <w:rFonts w:cs="Symbol"/>
      <w:b w:val="false"/>
      <w:i w:val="false"/>
      <w:color w:val="FFC000"/>
      <w:sz w:val="24"/>
      <w:u w:val="none"/>
    </w:rPr>
  </w:style>
  <w:style w:type="character" w:styleId="ListLabel73">
    <w:name w:val="ListLabel 73"/>
    <w:qFormat/>
    <w:rPr>
      <w:rFonts w:cs="Wingdings 2"/>
      <w:u w:val="none"/>
    </w:rPr>
  </w:style>
  <w:style w:type="character" w:styleId="ListLabel74">
    <w:name w:val="ListLabel 74"/>
    <w:qFormat/>
    <w:rPr>
      <w:rFonts w:cs="OpenSymbol"/>
      <w:u w:val="none"/>
    </w:rPr>
  </w:style>
  <w:style w:type="character" w:styleId="ListLabel75">
    <w:name w:val="ListLabel 75"/>
    <w:qFormat/>
    <w:rPr>
      <w:rFonts w:cs="Wingdings"/>
      <w:u w:val="none"/>
    </w:rPr>
  </w:style>
  <w:style w:type="character" w:styleId="ListLabel76">
    <w:name w:val="ListLabel 76"/>
    <w:qFormat/>
    <w:rPr>
      <w:rFonts w:cs="Wingdings 2"/>
      <w:u w:val="none"/>
    </w:rPr>
  </w:style>
  <w:style w:type="character" w:styleId="ListLabel77">
    <w:name w:val="ListLabel 77"/>
    <w:qFormat/>
    <w:rPr>
      <w:rFonts w:cs="OpenSymbol"/>
      <w:u w:val="none"/>
    </w:rPr>
  </w:style>
  <w:style w:type="character" w:styleId="ListLabel78">
    <w:name w:val="ListLabel 78"/>
    <w:qFormat/>
    <w:rPr>
      <w:rFonts w:cs="Wingdings"/>
      <w:u w:val="none"/>
    </w:rPr>
  </w:style>
  <w:style w:type="character" w:styleId="ListLabel79">
    <w:name w:val="ListLabel 79"/>
    <w:qFormat/>
    <w:rPr>
      <w:rFonts w:cs="Wingdings 2"/>
      <w:u w:val="none"/>
    </w:rPr>
  </w:style>
  <w:style w:type="character" w:styleId="ListLabel80">
    <w:name w:val="ListLabel 80"/>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Application>LibreOffice/6.1.3.2$Windows_x86 LibreOffice_project/86daf60bf00efa86ad547e59e09d6bb77c699acb</Application>
  <Pages>1</Pages>
  <Words>187</Words>
  <Characters>978</Characters>
  <CharactersWithSpaces>1149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2020-11-30T10:47:09Z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