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jc w:val="both"/>
        <w:rPr>
          <w:rFonts w:ascii="Arial" w:hAnsi="Arial"/>
        </w:rPr>
      </w:pPr>
      <w:r>
        <w:rPr>
          <w:lang w:val="en-US"/>
        </w:rPr>
        <w:t>Joker Spin</w:t>
      </w:r>
      <w:r>
        <w:rPr>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Joker Spin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Landing three or more SCATTER symbols will trigger 15 FREE SPINS at x2 multiplier. No extra FREE GAME feature in FREE SPINS mode. FREE SPINS can be retriggered. If FREE SPINS are retriggered, the player unlocks 15 extra FREE SPINS with x2 multiplier,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Scatter</w:t>
      </w:r>
      <w:bookmarkStart w:id="2" w:name="_GoBack"/>
      <w:bookmarkEnd w:id="2"/>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SCATTER symbols appear on middle three reels only. Landing two or three SCATTER symbols on the screen pays out 2 or 20 times your total bet. Landing three or more SCATTER symbols will trigger 15 FREE SPINS at x2 multiplier. Only one SCATTER can appear on each reel. WILD and SCATTER symbols cannot appear simultaneously on the same reel.</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Stick</w:t>
      </w:r>
      <w:r>
        <w:rPr>
          <w:rFonts w:eastAsia="Times New Roman"/>
          <w:b/>
          <w:bCs/>
          <w:color w:val="000000"/>
          <w:sz w:val="28"/>
          <w:szCs w:val="28"/>
          <w:lang w:val="en-GB" w:eastAsia="en-GB"/>
        </w:rPr>
        <w:t>y</w:t>
      </w:r>
      <w:r>
        <w:rPr>
          <w:rFonts w:eastAsia="Times New Roman"/>
          <w:b/>
          <w:bCs/>
          <w:color w:val="000000"/>
          <w:sz w:val="28"/>
          <w:szCs w:val="28"/>
          <w:lang w:val="en-GB" w:eastAsia="en-GB"/>
        </w:rPr>
        <w:t xml:space="preserve"> Wild</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Landing 1 or more WILD symbols on the reels during regular play with bet (i.e. not in FREE SPINS) will trigger one extra FREE GAME. All WILD symbols from previous regular play will stay in the same positions on the reels. After extra FREE GAME ends, regular play resumes with bet or FREE SPINS. Only in extra FREE GAME, WILD and SCATTER symbols can appear simultaneously on the same reel. Only in extra FREE GAME, 2 WILD symbols can appear simultaneously on the same reel.</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WILD symbols appear on middle three reels only. WILDs substitute for all other symbols except for the SCATTER symbol. Only one WILD symbol can land on each reel. WILD and SCATTER symbols cannot appear simultaneously on the same reel.</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LibreOffice/6.1.3.2$Windows_x86 LibreOffice_project/86daf60bf00efa86ad547e59e09d6bb77c699acb</Application>
  <Pages>2</Pages>
  <Words>340</Words>
  <Characters>1611</Characters>
  <CharactersWithSpaces>1945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2018-11-27T10:13:00Z</dcterms:created>
  <dc:creator>Natalia Gajic</dc:creator>
  <dc:description/>
  <dc:language>pl-PL</dc:language>
  <cp:lastModifiedBy/>
  <dcterms:modified xsi:type="dcterms:W3CDTF">2020-06-26T13:35:59Z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