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color w:val="212121"/>
          <w:highlight w:val="white"/>
          <w:lang w:val="en-US"/>
        </w:rPr>
        <w:t>Hot Sunrise™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widowControl w:val="false"/>
        <w:spacing w:lineRule="exact" w:line="360" w:before="0" w:after="0"/>
        <w:ind w:left="0" w:right="0" w:hanging="0"/>
        <w:contextualSpacing/>
        <w:jc w:val="both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 xml:space="preserve">Bask in the warmth of the rising sun, ocean waves, and silky sand on the Miami beaches of Hot Sunrise™! Take a break to enjoy the stunning view and set the fruity reels on fire: this retro slot is brimming with Wilds, Multipliers, and the incredible Wheel </w:t>
      </w: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>Bonus</w:t>
      </w: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>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widowControl w:val="false"/>
        <w:spacing w:lineRule="exact" w:line="360" w:before="0" w:after="0"/>
        <w:ind w:left="0" w:right="0" w:hanging="0"/>
        <w:contextualSpacing/>
        <w:jc w:val="both"/>
        <w:rPr>
          <w:i w:val="false"/>
          <w:i w:val="false"/>
          <w:iCs w:val="false"/>
        </w:rPr>
      </w:pPr>
      <w:r>
        <w:rPr>
          <w:rFonts w:eastAsia="Arial" w:cs="Arial"/>
          <w:i w:val="false"/>
          <w:iCs w:val="false"/>
          <w:color w:val="000000"/>
          <w:spacing w:val="0"/>
          <w:sz w:val="24"/>
          <w:shd w:fill="auto" w:val="clear"/>
        </w:rPr>
        <w:t>Hot Sunrise™ takes you on a journey back to the radiant beaches of 90s Miami, where the fun never ends and the sun never sets! This neon-lit slot is brimming with hot features and fantastic gameplay for your round-the-clock entertainment.</w:t>
      </w:r>
    </w:p>
    <w:p>
      <w:pPr>
        <w:pStyle w:val="Normal"/>
        <w:widowControl w:val="false"/>
        <w:spacing w:lineRule="exact" w:line="360" w:before="0" w:after="0"/>
        <w:ind w:left="0" w:right="0" w:hanging="0"/>
        <w:contextualSpacing/>
        <w:jc w:val="both"/>
        <w:rPr>
          <w:rFonts w:ascii="Arial" w:hAnsi="Arial" w:eastAsia="Arial" w:cs="Arial"/>
          <w:i w:val="false"/>
          <w:i w:val="false"/>
          <w:iCs w:val="false"/>
          <w:color w:val="000000"/>
          <w:spacing w:val="0"/>
          <w:sz w:val="24"/>
        </w:rPr>
      </w:pPr>
      <w:r>
        <w:rPr>
          <w:rFonts w:eastAsia="Arial" w:cs="Arial"/>
          <w:i w:val="false"/>
          <w:iCs w:val="false"/>
          <w:color w:val="000000"/>
          <w:spacing w:val="0"/>
          <w:sz w:val="24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contextualSpacing/>
        <w:jc w:val="both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 xml:space="preserve">Hot Sunrise™ is a 3x3 video slot with five paylines. The Wild symbol can substitute for all other symbols. Landing on a stack of identical symbols on two of the reels awards a Respin. If luck is on your side and you land on nine identical symbols, you'll be spinning the Wheel </w:t>
      </w: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>Bonus</w:t>
      </w: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 xml:space="preserve"> for a chance at generous multipliers! </w:t>
      </w:r>
    </w:p>
    <w:p>
      <w:pPr>
        <w:pStyle w:val="Normal"/>
        <w:spacing w:lineRule="auto" w:line="360" w:before="0" w:after="0"/>
        <w:contextualSpacing/>
        <w:jc w:val="both"/>
        <w:rPr>
          <w:highlight w:val="white"/>
        </w:rPr>
      </w:pPr>
      <w:r>
        <w:rPr>
          <w:highlight w:val="white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shd w:fill="auto" w:val="clear"/>
        </w:rPr>
        <w:t>Hot Sunrise™ takes you to one of the most beautiful beaches of Miami.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shd w:fill="auto" w:val="clear"/>
        </w:rPr>
        <w:t xml:space="preserve">Spin the Wheel </w:t>
      </w: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shd w:fill="auto" w:val="clear"/>
        </w:rPr>
        <w:t>Bonus</w:t>
      </w: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shd w:fill="auto" w:val="clear"/>
        </w:rPr>
        <w:t xml:space="preserve"> for a chance to multiply your winnings.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shd w:fill="auto" w:val="clear"/>
        </w:rPr>
        <w:t>Fire up the reels of Hot Sunrise™ and travel back in time!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shd w:fill="auto" w:val="clear"/>
        </w:rPr>
        <w:t>An exotic getaway at any time of the year!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rFonts w:eastAsia="Arial" w:cs="Arial"/>
          <w:i w:val="false"/>
          <w:iCs w:val="false"/>
          <w:color w:val="000000"/>
          <w:spacing w:val="0"/>
          <w:sz w:val="24"/>
          <w:szCs w:val="24"/>
          <w:highlight w:val="white"/>
          <w:shd w:fill="auto" w:val="clear"/>
          <w:lang w:val="en-US"/>
        </w:rPr>
        <w:t>Back to the 90s!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100" cy="26225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9pt;height:20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Symbol"/>
      <w:b w:val="false"/>
      <w:i w:val="false"/>
      <w:color w:val="FFC000"/>
      <w:sz w:val="24"/>
      <w:u w:val="none"/>
    </w:rPr>
  </w:style>
  <w:style w:type="character" w:styleId="ListLabel73">
    <w:name w:val="ListLabel 73"/>
    <w:qFormat/>
    <w:rPr>
      <w:rFonts w:cs="Wingdings 2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Wingdings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LibreOffice/6.1.3.2$Windows_x86 LibreOffice_project/86daf60bf00efa86ad547e59e09d6bb77c699acb</Application>
  <Pages>1</Pages>
  <Words>210</Words>
  <Characters>950</Characters>
  <CharactersWithSpaces>1143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2020-06-23T09:01:32Z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