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lang w:val="en-US"/>
        </w:rPr>
      </w:pPr>
      <w:r>
        <w:rPr>
          <w:color w:val="000000"/>
          <w:lang w:val="en-US"/>
        </w:rPr>
      </w:r>
      <w:bookmarkStart w:id="0" w:name="_irw7ehx2k2uj"/>
      <w:bookmarkStart w:id="1" w:name="_irw7ehx2k2uj"/>
      <w:bookmarkEnd w:id="1"/>
    </w:p>
    <w:p>
      <w:pPr>
        <w:pStyle w:val="Normal"/>
        <w:rPr>
          <w:color w:val="000000"/>
          <w:lang w:val="en-US"/>
        </w:rPr>
      </w:pPr>
      <w:r>
        <w:rPr>
          <w:color w:val="000000"/>
          <w:lang w:val="en-US"/>
        </w:rPr>
      </w:r>
    </w:p>
    <w:p>
      <w:pPr>
        <w:pStyle w:val="Tytugry"/>
        <w:rPr/>
      </w:pPr>
      <w:r>
        <w:rPr>
          <w:color w:val="000000"/>
          <w:lang w:val="en-US"/>
        </w:rPr>
        <w:t>Book of Gates™</w:t>
      </w:r>
    </w:p>
    <w:p>
      <w:pPr>
        <w:pStyle w:val="Normal"/>
        <w:spacing w:lineRule="auto" w:line="360" w:before="0" w:after="0"/>
        <w:contextualSpacing/>
        <w:jc w:val="both"/>
        <w:rPr>
          <w:color w:val="000000"/>
        </w:rPr>
      </w:pPr>
      <w:r>
        <w:rPr>
          <w:b/>
          <w:bCs/>
          <w:color w:val="000000"/>
          <w:sz w:val="28"/>
          <w:szCs w:val="28"/>
          <w:highlight w:val="white"/>
          <w:lang w:val="en-US"/>
        </w:rPr>
        <w:t>Game description</w:t>
      </w:r>
    </w:p>
    <w:p>
      <w:pPr>
        <w:pStyle w:val="Normal"/>
        <w:spacing w:lineRule="auto" w:line="360" w:before="0" w:after="0"/>
        <w:contextualSpacing/>
        <w:jc w:val="left"/>
        <w:rPr>
          <w:rFonts w:ascii="Arial" w:hAnsi="Arial" w:eastAsia="Calibri" w:cs="Calibri"/>
          <w:b w:val="false"/>
          <w:b w:val="false"/>
          <w:i w:val="false"/>
          <w:i w:val="false"/>
          <w:iCs w:val="false"/>
          <w:color w:val="000000"/>
          <w:sz w:val="22"/>
        </w:rPr>
      </w:pPr>
      <w:r>
        <w:rPr>
          <w:rFonts w:eastAsia="Calibri" w:cs="Calibri"/>
          <w:b w:val="false"/>
          <w:i w:val="false"/>
          <w:iCs w:val="false"/>
          <w:color w:val="000000"/>
          <w:sz w:val="24"/>
          <w:szCs w:val="24"/>
          <w:highlight w:val="white"/>
          <w:lang w:val="en-US"/>
        </w:rPr>
        <w:t>The gates to the underworld have been opened, and the mighty gods Ra, Osiris, Bastet, and Chnum, have returned to Egyptian lands with one thing in mind – to take over the entire world. Spin the reels of the Book of Gates</w:t>
      </w:r>
      <w:bookmarkStart w:id="2" w:name="__DdeLink__951_3742888751"/>
      <w:r>
        <w:rPr>
          <w:rFonts w:eastAsia="Calibri" w:cs="Calibri"/>
          <w:b w:val="false"/>
          <w:i w:val="false"/>
          <w:iCs w:val="false"/>
          <w:color w:val="000000"/>
          <w:sz w:val="24"/>
          <w:szCs w:val="24"/>
          <w:highlight w:val="white"/>
          <w:lang w:val="en-US"/>
        </w:rPr>
        <w:t>™</w:t>
      </w:r>
      <w:bookmarkEnd w:id="2"/>
      <w:r>
        <w:rPr>
          <w:rFonts w:eastAsia="Calibri" w:cs="Calibri"/>
          <w:b w:val="false"/>
          <w:i w:val="false"/>
          <w:iCs w:val="false"/>
          <w:color w:val="000000"/>
          <w:sz w:val="24"/>
          <w:szCs w:val="24"/>
          <w:highlight w:val="white"/>
          <w:lang w:val="en-US"/>
        </w:rPr>
        <w:t xml:space="preserve"> online slot to discover the guarded secrets of the deities, and perhaps Ra will show you the way to legendary riches!</w:t>
      </w:r>
    </w:p>
    <w:p>
      <w:pPr>
        <w:pStyle w:val="Normal"/>
        <w:spacing w:lineRule="auto" w:line="360" w:before="0" w:after="0"/>
        <w:contextualSpacing/>
        <w:jc w:val="both"/>
        <w:rPr>
          <w:color w:val="000000"/>
          <w:sz w:val="24"/>
          <w:szCs w:val="24"/>
          <w:highlight w:val="white"/>
          <w:lang w:val="en-US"/>
        </w:rPr>
      </w:pPr>
      <w:r>
        <w:rPr>
          <w:color w:val="000000"/>
          <w:sz w:val="24"/>
          <w:szCs w:val="24"/>
          <w:highlight w:val="white"/>
          <w:lang w:val="en-US"/>
        </w:rPr>
      </w:r>
    </w:p>
    <w:p>
      <w:pPr>
        <w:pStyle w:val="Normal"/>
        <w:spacing w:lineRule="auto" w:line="360" w:before="0" w:after="0"/>
        <w:contextualSpacing/>
        <w:jc w:val="both"/>
        <w:rPr>
          <w:color w:val="000000"/>
        </w:rPr>
      </w:pPr>
      <w:r>
        <w:rPr>
          <w:b/>
          <w:bCs/>
          <w:color w:val="000000"/>
          <w:sz w:val="28"/>
          <w:szCs w:val="28"/>
          <w:highlight w:val="white"/>
          <w:lang w:val="en-US"/>
        </w:rPr>
        <w:t>Marketing description</w:t>
      </w:r>
    </w:p>
    <w:p>
      <w:pPr>
        <w:pStyle w:val="Normal"/>
        <w:spacing w:lineRule="auto" w:line="360"/>
        <w:rPr>
          <w:rFonts w:ascii="Arial" w:hAnsi="Arial"/>
          <w:sz w:val="24"/>
          <w:szCs w:val="24"/>
        </w:rPr>
      </w:pPr>
      <w:r>
        <w:rPr>
          <w:rFonts w:eastAsia="Calibri" w:cs="Calibri"/>
          <w:color w:val="000000"/>
          <w:sz w:val="24"/>
          <w:szCs w:val="24"/>
        </w:rPr>
        <w:t>Open the mystical Book of Gates</w:t>
      </w:r>
      <w:r>
        <w:rPr>
          <w:rFonts w:eastAsia="Calibri" w:cs="Calibri"/>
          <w:b w:val="false"/>
          <w:i w:val="false"/>
          <w:iCs w:val="false"/>
          <w:color w:val="000000"/>
          <w:sz w:val="24"/>
          <w:szCs w:val="24"/>
          <w:highlight w:val="white"/>
          <w:lang w:val="en-US"/>
        </w:rPr>
        <w:t>™</w:t>
      </w:r>
      <w:r>
        <w:rPr>
          <w:rFonts w:eastAsia="Calibri" w:cs="Calibri"/>
          <w:color w:val="000000"/>
          <w:sz w:val="24"/>
          <w:szCs w:val="24"/>
        </w:rPr>
        <w:t xml:space="preserve"> and gain access to the unlimited powers of Ancient Egyptian deities! Seize the strength of the divine and explore the many exciting features of this brand-new slot. </w:t>
      </w:r>
    </w:p>
    <w:p>
      <w:pPr>
        <w:pStyle w:val="Normal"/>
        <w:spacing w:lineRule="auto" w:line="360" w:before="0" w:after="0"/>
        <w:contextualSpacing/>
        <w:jc w:val="left"/>
        <w:rPr>
          <w:rFonts w:ascii="Arial" w:hAnsi="Arial" w:eastAsia="Calibri" w:cs="Calibri"/>
          <w:b w:val="false"/>
          <w:b w:val="false"/>
          <w:i w:val="false"/>
          <w:i w:val="false"/>
          <w:iCs w:val="false"/>
          <w:color w:val="000000"/>
          <w:sz w:val="24"/>
          <w:szCs w:val="24"/>
        </w:rPr>
      </w:pPr>
      <w:r>
        <w:rPr>
          <w:rFonts w:eastAsia="Calibri" w:cs="Calibri"/>
          <w:b w:val="false"/>
          <w:i w:val="false"/>
          <w:iCs w:val="false"/>
          <w:caps w:val="false"/>
          <w:smallCaps w:val="false"/>
          <w:color w:val="000000"/>
          <w:sz w:val="24"/>
          <w:szCs w:val="24"/>
          <w:highlight w:val="white"/>
          <w:lang w:val="en-US"/>
        </w:rPr>
        <w:t xml:space="preserve">The Book of Gates™ is a five-reel video slot, with </w:t>
      </w:r>
      <w:r>
        <w:rPr>
          <w:rFonts w:eastAsia="Calibri" w:cs="Calibri"/>
          <w:b w:val="false"/>
          <w:i w:val="false"/>
          <w:iCs w:val="false"/>
          <w:caps w:val="false"/>
          <w:smallCaps w:val="false"/>
          <w:color w:val="000000"/>
          <w:sz w:val="24"/>
          <w:szCs w:val="24"/>
          <w:highlight w:val="white"/>
          <w:lang w:val="en-US"/>
        </w:rPr>
        <w:t>two</w:t>
      </w:r>
      <w:r>
        <w:rPr>
          <w:rFonts w:eastAsia="Calibri" w:cs="Calibri"/>
          <w:b w:val="false"/>
          <w:i w:val="false"/>
          <w:iCs w:val="false"/>
          <w:caps w:val="false"/>
          <w:smallCaps w:val="false"/>
          <w:color w:val="000000"/>
          <w:sz w:val="24"/>
          <w:szCs w:val="24"/>
          <w:highlight w:val="white"/>
          <w:lang w:val="en-US"/>
        </w:rPr>
        <w:t xml:space="preserve"> to eight rows and up to 32,768 different ways you can win! Three of the top rows hide a surprise behind their locked doors; to discover what lies beyond you must land on a winning combo during the base game. Unlocking a row will prompt a Respin, which will be active until the win streak ends, or all three rows are unlocked.  The Wild symbol will substitute for any other symbol, except Scatter. If you’re lucky, you may hit three of the Scatter symbols and you will be rewarded with a Bonus Round of 10 Free Spins! </w:t>
      </w:r>
    </w:p>
    <w:p>
      <w:pPr>
        <w:pStyle w:val="Normal"/>
        <w:spacing w:lineRule="auto" w:line="360" w:before="0" w:after="0"/>
        <w:contextualSpacing/>
        <w:jc w:val="both"/>
        <w:rPr>
          <w:color w:val="000000"/>
          <w:sz w:val="24"/>
          <w:szCs w:val="24"/>
          <w:highlight w:val="white"/>
          <w:lang w:val="en-US"/>
        </w:rPr>
      </w:pPr>
      <w:r>
        <w:rPr>
          <w:color w:val="000000"/>
          <w:sz w:val="24"/>
          <w:szCs w:val="24"/>
          <w:highlight w:val="white"/>
          <w:lang w:val="en-US"/>
        </w:rPr>
      </w:r>
    </w:p>
    <w:p>
      <w:pPr>
        <w:pStyle w:val="LOnormal"/>
        <w:spacing w:before="0" w:after="0"/>
        <w:contextualSpacing/>
        <w:rPr>
          <w:color w:val="000000"/>
        </w:rPr>
      </w:pPr>
      <w:r>
        <w:rPr>
          <w:b/>
          <w:bCs/>
          <w:color w:val="000000"/>
          <w:sz w:val="28"/>
          <w:szCs w:val="28"/>
          <w:highlight w:val="white"/>
          <w:lang w:val="en-US"/>
        </w:rPr>
        <w:t>Game phrases</w:t>
      </w:r>
    </w:p>
    <w:p>
      <w:pPr>
        <w:pStyle w:val="LOnormal"/>
        <w:spacing w:before="0" w:after="0"/>
        <w:contextualSpacing/>
        <w:rPr>
          <w:color w:val="000000"/>
          <w:sz w:val="24"/>
          <w:szCs w:val="24"/>
          <w:highlight w:val="white"/>
          <w:lang w:val="en-US"/>
        </w:rPr>
      </w:pPr>
      <w:r>
        <w:rPr>
          <w:color w:val="000000"/>
          <w:sz w:val="24"/>
          <w:szCs w:val="24"/>
          <w:highlight w:val="white"/>
          <w:lang w:val="en-US"/>
        </w:rPr>
      </w:r>
    </w:p>
    <w:p>
      <w:pPr>
        <w:pStyle w:val="Normal"/>
        <w:numPr>
          <w:ilvl w:val="0"/>
          <w:numId w:val="1"/>
        </w:numPr>
        <w:spacing w:lineRule="auto" w:line="360"/>
        <w:rPr>
          <w:rFonts w:ascii="Arial" w:hAnsi="Arial"/>
          <w:sz w:val="24"/>
          <w:szCs w:val="24"/>
        </w:rPr>
      </w:pPr>
      <w:r>
        <w:rPr>
          <w:rFonts w:eastAsia="Calibri" w:cs="Calibri"/>
          <w:color w:val="000000"/>
          <w:sz w:val="24"/>
          <w:szCs w:val="24"/>
        </w:rPr>
        <w:t>The ancient gods are back!</w:t>
      </w:r>
    </w:p>
    <w:p>
      <w:pPr>
        <w:pStyle w:val="Normal"/>
        <w:numPr>
          <w:ilvl w:val="0"/>
          <w:numId w:val="1"/>
        </w:numPr>
        <w:spacing w:lineRule="auto" w:line="360"/>
        <w:rPr>
          <w:rFonts w:ascii="Arial" w:hAnsi="Arial"/>
          <w:sz w:val="24"/>
          <w:szCs w:val="24"/>
        </w:rPr>
      </w:pPr>
      <w:r>
        <w:rPr>
          <w:rFonts w:eastAsia="Calibri" w:cs="Calibri"/>
          <w:color w:val="000000"/>
          <w:sz w:val="24"/>
          <w:szCs w:val="24"/>
        </w:rPr>
        <w:t>Overpower the mighty deities with the Book of Gates™.</w:t>
      </w:r>
    </w:p>
    <w:p>
      <w:pPr>
        <w:pStyle w:val="Normal"/>
        <w:numPr>
          <w:ilvl w:val="0"/>
          <w:numId w:val="1"/>
        </w:numPr>
        <w:spacing w:lineRule="auto" w:line="360"/>
        <w:rPr>
          <w:rFonts w:ascii="Arial" w:hAnsi="Arial"/>
          <w:sz w:val="24"/>
          <w:szCs w:val="24"/>
        </w:rPr>
      </w:pPr>
      <w:r>
        <w:rPr>
          <w:rFonts w:eastAsia="Calibri" w:cs="Calibri"/>
          <w:color w:val="000000"/>
          <w:sz w:val="24"/>
          <w:szCs w:val="24"/>
        </w:rPr>
        <w:t>Discover all 32,768 ways to win.</w:t>
      </w:r>
    </w:p>
    <w:p>
      <w:pPr>
        <w:pStyle w:val="Normal"/>
        <w:numPr>
          <w:ilvl w:val="0"/>
          <w:numId w:val="1"/>
        </w:numPr>
        <w:spacing w:lineRule="auto" w:line="360"/>
        <w:rPr>
          <w:rFonts w:ascii="Arial" w:hAnsi="Arial"/>
          <w:sz w:val="24"/>
          <w:szCs w:val="24"/>
        </w:rPr>
      </w:pPr>
      <w:r>
        <w:rPr>
          <w:rFonts w:eastAsia="Calibri" w:cs="Calibri"/>
          <w:color w:val="000000"/>
          <w:sz w:val="24"/>
          <w:szCs w:val="24"/>
        </w:rPr>
        <w:t xml:space="preserve">Book of Gates™ - a modern slot in the authentic ambience of ancient Egypt. </w:t>
      </w:r>
    </w:p>
    <w:p>
      <w:pPr>
        <w:pStyle w:val="Normal"/>
        <w:numPr>
          <w:ilvl w:val="0"/>
          <w:numId w:val="1"/>
        </w:numPr>
        <w:spacing w:lineRule="auto" w:line="360"/>
        <w:ind w:left="720" w:hanging="360"/>
        <w:rPr/>
      </w:pPr>
      <w:r>
        <w:rPr>
          <w:rFonts w:eastAsia="Calibri" w:cs="Calibri"/>
          <w:b w:val="false"/>
          <w:bCs w:val="false"/>
          <w:i w:val="false"/>
          <w:iCs w:val="false"/>
          <w:color w:val="000000"/>
          <w:sz w:val="24"/>
          <w:szCs w:val="24"/>
          <w:highlight w:val="white"/>
        </w:rPr>
        <w:t>A multitude of ways to win for truly spectacular prizes and enjoyable gameplay!</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90370" cy="263525"/>
              <wp:effectExtent l="0" t="0" r="0" b="0"/>
              <wp:wrapNone/>
              <wp:docPr id="2" name="Obraz1"/>
              <a:graphic xmlns:a="http://schemas.openxmlformats.org/drawingml/2006/main">
                <a:graphicData uri="http://schemas.microsoft.com/office/word/2010/wordprocessingShape">
                  <wps:wsp>
                    <wps:cNvSpPr/>
                    <wps:spPr>
                      <a:xfrm>
                        <a:off x="0" y="0"/>
                        <a:ext cx="1689840" cy="2628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3pt;height:20.6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character" w:styleId="ListLabel81">
    <w:name w:val="ListLabel 81"/>
    <w:qFormat/>
    <w:rPr>
      <w:rFonts w:ascii="Arial" w:hAnsi="Arial" w:cs="Symbol"/>
      <w:b w:val="false"/>
      <w:i w:val="false"/>
      <w:color w:val="FFC000"/>
      <w:sz w:val="24"/>
      <w:u w:val="none"/>
    </w:rPr>
  </w:style>
  <w:style w:type="character" w:styleId="ListLabel82">
    <w:name w:val="ListLabel 82"/>
    <w:qFormat/>
    <w:rPr>
      <w:rFonts w:cs="Wingdings 2"/>
      <w:u w:val="none"/>
    </w:rPr>
  </w:style>
  <w:style w:type="character" w:styleId="ListLabel83">
    <w:name w:val="ListLabel 83"/>
    <w:qFormat/>
    <w:rPr>
      <w:rFonts w:cs="OpenSymbol"/>
      <w:u w:val="none"/>
    </w:rPr>
  </w:style>
  <w:style w:type="character" w:styleId="ListLabel84">
    <w:name w:val="ListLabel 84"/>
    <w:qFormat/>
    <w:rPr>
      <w:rFonts w:cs="Wingdings"/>
      <w:u w:val="none"/>
    </w:rPr>
  </w:style>
  <w:style w:type="character" w:styleId="ListLabel85">
    <w:name w:val="ListLabel 85"/>
    <w:qFormat/>
    <w:rPr>
      <w:rFonts w:cs="Wingdings 2"/>
      <w:u w:val="none"/>
    </w:rPr>
  </w:style>
  <w:style w:type="character" w:styleId="ListLabel86">
    <w:name w:val="ListLabel 86"/>
    <w:qFormat/>
    <w:rPr>
      <w:rFonts w:cs="OpenSymbol"/>
      <w:u w:val="none"/>
    </w:rPr>
  </w:style>
  <w:style w:type="character" w:styleId="ListLabel87">
    <w:name w:val="ListLabel 87"/>
    <w:qFormat/>
    <w:rPr>
      <w:rFonts w:cs="Wingdings"/>
      <w:u w:val="none"/>
    </w:rPr>
  </w:style>
  <w:style w:type="character" w:styleId="ListLabel88">
    <w:name w:val="ListLabel 88"/>
    <w:qFormat/>
    <w:rPr>
      <w:rFonts w:cs="Wingdings 2"/>
      <w:u w:val="none"/>
    </w:rPr>
  </w:style>
  <w:style w:type="character" w:styleId="ListLabel89">
    <w:name w:val="ListLabel 89"/>
    <w:qFormat/>
    <w:rPr>
      <w:rFonts w:cs="OpenSymbol"/>
      <w:u w:val="none"/>
    </w:rPr>
  </w:style>
  <w:style w:type="character" w:styleId="ListLabel90">
    <w:name w:val="ListLabel 90"/>
    <w:qFormat/>
    <w:rPr>
      <w:rFonts w:ascii="Arial" w:hAnsi="Arial" w:cs="Symbol"/>
      <w:b w:val="false"/>
      <w:i w:val="false"/>
      <w:color w:val="FFC000"/>
      <w:sz w:val="24"/>
      <w:u w:val="none"/>
    </w:rPr>
  </w:style>
  <w:style w:type="character" w:styleId="ListLabel91">
    <w:name w:val="ListLabel 91"/>
    <w:qFormat/>
    <w:rPr>
      <w:rFonts w:cs="Wingdings 2"/>
      <w:u w:val="none"/>
    </w:rPr>
  </w:style>
  <w:style w:type="character" w:styleId="ListLabel92">
    <w:name w:val="ListLabel 92"/>
    <w:qFormat/>
    <w:rPr>
      <w:rFonts w:cs="OpenSymbol"/>
      <w:u w:val="none"/>
    </w:rPr>
  </w:style>
  <w:style w:type="character" w:styleId="ListLabel93">
    <w:name w:val="ListLabel 93"/>
    <w:qFormat/>
    <w:rPr>
      <w:rFonts w:cs="Wingdings"/>
      <w:u w:val="none"/>
    </w:rPr>
  </w:style>
  <w:style w:type="character" w:styleId="ListLabel94">
    <w:name w:val="ListLabel 94"/>
    <w:qFormat/>
    <w:rPr>
      <w:rFonts w:cs="Wingdings 2"/>
      <w:u w:val="none"/>
    </w:rPr>
  </w:style>
  <w:style w:type="character" w:styleId="ListLabel95">
    <w:name w:val="ListLabel 95"/>
    <w:qFormat/>
    <w:rPr>
      <w:rFonts w:cs="OpenSymbol"/>
      <w:u w:val="none"/>
    </w:rPr>
  </w:style>
  <w:style w:type="character" w:styleId="ListLabel96">
    <w:name w:val="ListLabel 96"/>
    <w:qFormat/>
    <w:rPr>
      <w:rFonts w:cs="Wingdings"/>
      <w:u w:val="none"/>
    </w:rPr>
  </w:style>
  <w:style w:type="character" w:styleId="ListLabel97">
    <w:name w:val="ListLabel 97"/>
    <w:qFormat/>
    <w:rPr>
      <w:rFonts w:cs="Wingdings 2"/>
      <w:u w:val="none"/>
    </w:rPr>
  </w:style>
  <w:style w:type="character" w:styleId="ListLabel98">
    <w:name w:val="ListLabel 98"/>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LibreOffice/6.1.3.2$Windows_x86 LibreOffice_project/86daf60bf00efa86ad547e59e09d6bb77c699acb</Application>
  <Pages>2</Pages>
  <Words>265</Words>
  <Characters>1201</Characters>
  <CharactersWithSpaces>1453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2020-08-06T11:52:02Z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