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Alice in Wonderland</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Alice has returned to the Wonderland to save her childhood friends from the rule of the evil Queen of the Heart. Help Alice win with evil and return to real life. Crazy magician, white rabbit and talking cat will support you. Take the risk and decide, black or red will lead you to a spectacular victory. Remember that red is the color of the queen, check if she will bring you happiness!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lang w:val="en-US"/>
        </w:rPr>
        <w:t>Enter the land of huge wins along with Mad Hatter in Alice in Wonderland™ video slot. You can go up to 243 winning ways and multiply the winnings with Free Spins, which you will receive after showing up 3 Scatter symbols. In this video slot, nothing is obvious and huge prizes await in every turn.</w:t>
      </w:r>
    </w:p>
    <w:p>
      <w:pPr>
        <w:pStyle w:val="Normal"/>
        <w:spacing w:lineRule="auto" w:line="360" w:before="0" w:after="0"/>
        <w:contextualSpacing/>
        <w:jc w:val="both"/>
        <w:rPr>
          <w:color w:val="212121"/>
          <w:sz w:val="24"/>
          <w:szCs w:val="24"/>
          <w:lang w:val="en-US"/>
        </w:rPr>
      </w:pPr>
      <w:r>
        <w:rPr>
          <w:color w:val="212121"/>
          <w:sz w:val="24"/>
          <w:szCs w:val="24"/>
          <w:highlight w:val="white"/>
          <w:lang w:val="en-US"/>
        </w:rPr>
        <w:t>Alice in Wonderland™ video slot have 5-reels, 3-rows and 243 winning lines. 3 or more Scatter symbols will trigger 10 Free Spins. It’s possible to spin 9 Wild Symbols during Free Spins. Game features also special Symbol Stacked and Gamble Mode.</w:t>
      </w:r>
    </w:p>
    <w:p>
      <w:pPr>
        <w:pStyle w:val="Normal"/>
        <w:spacing w:lineRule="auto" w:line="360" w:before="0" w:after="0"/>
        <w:contextualSpacing/>
        <w:jc w:val="both"/>
        <w:rPr>
          <w:highlight w:val="white"/>
        </w:rPr>
      </w:pPr>
      <w:r>
        <w:rPr>
          <w:color w:val="212121"/>
          <w:sz w:val="24"/>
          <w:szCs w:val="24"/>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Help Alice to win with the evil Queen of hearts.</w:t>
      </w:r>
    </w:p>
    <w:p>
      <w:pPr>
        <w:pStyle w:val="Normal"/>
        <w:numPr>
          <w:ilvl w:val="0"/>
          <w:numId w:val="1"/>
        </w:numPr>
        <w:spacing w:lineRule="auto" w:line="360"/>
        <w:ind w:left="720" w:hanging="360"/>
        <w:rPr/>
      </w:pPr>
      <w:r>
        <w:rPr>
          <w:sz w:val="24"/>
          <w:szCs w:val="24"/>
        </w:rPr>
        <w:t>Cheshire Cat calls you for help.</w:t>
      </w:r>
    </w:p>
    <w:p>
      <w:pPr>
        <w:pStyle w:val="Normal"/>
        <w:numPr>
          <w:ilvl w:val="0"/>
          <w:numId w:val="1"/>
        </w:numPr>
        <w:spacing w:lineRule="auto" w:line="360"/>
        <w:ind w:left="720" w:hanging="360"/>
        <w:rPr/>
      </w:pPr>
      <w:r>
        <w:rPr>
          <w:sz w:val="24"/>
          <w:szCs w:val="24"/>
        </w:rPr>
        <w:t>This unique slot will take you to the land full of magic.</w:t>
      </w:r>
    </w:p>
    <w:p>
      <w:pPr>
        <w:pStyle w:val="Normal"/>
        <w:numPr>
          <w:ilvl w:val="0"/>
          <w:numId w:val="1"/>
        </w:numPr>
        <w:spacing w:lineRule="auto" w:line="360"/>
        <w:ind w:left="720" w:hanging="360"/>
        <w:rPr/>
      </w:pPr>
      <w:r>
        <w:rPr>
          <w:sz w:val="24"/>
          <w:szCs w:val="24"/>
        </w:rPr>
        <w:t>Time has stopped, restore the original gear and get free spins.</w:t>
      </w:r>
    </w:p>
    <w:p>
      <w:pPr>
        <w:pStyle w:val="Normal"/>
        <w:numPr>
          <w:ilvl w:val="0"/>
          <w:numId w:val="1"/>
        </w:numPr>
        <w:spacing w:lineRule="auto" w:line="360"/>
        <w:ind w:left="720" w:hanging="360"/>
        <w:rPr/>
      </w:pPr>
      <w:r>
        <w:rPr>
          <w:color w:val="212121"/>
          <w:sz w:val="24"/>
          <w:szCs w:val="24"/>
          <w:highlight w:val="white"/>
          <w:lang w:val="en-US"/>
        </w:rPr>
        <w:t>Follow the footsteps left by the White Rabbit.</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Application>LibreOffice/6.1.3.2$Windows_x86 LibreOffice_project/86daf60bf00efa86ad547e59e09d6bb77c699acb</Application>
  <Pages>1</Pages>
  <Words>230</Words>
  <Characters>1048</Characters>
  <CharactersWithSpaces>1261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2018-11-28T10:32:51Z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