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Ocean Reef</w:t>
      </w:r>
      <w:r>
        <w:rPr>
          <w:color w:val="212121"/>
          <w:highlight w:val="white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Dive into the depths of the ocean and admire the beauty of coral reefs. At Ocean Reef™, not only small colorful fish live, but also aquatic creatures that you have never heard of. Today you have a unique chance to see a white shark really close. Do not be afraid animals are in a friendly mood. With a bit of luck, you may find a sunken treasure chest.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contextualSpacing/>
        <w:rPr/>
      </w:pPr>
      <w:r>
        <w:rPr>
          <w:color w:val="212121"/>
          <w:sz w:val="24"/>
          <w:szCs w:val="24"/>
        </w:rPr>
        <w:t>Reach the bottom of the ocean and bring out special symbols that will give you huge winnings in the Ocean Reef</w:t>
      </w:r>
      <w:r>
        <w:rPr>
          <w:sz w:val="24"/>
          <w:szCs w:val="24"/>
        </w:rPr>
        <w:t>™</w:t>
      </w:r>
      <w:r>
        <w:rPr>
          <w:color w:val="212121"/>
          <w:sz w:val="24"/>
          <w:szCs w:val="24"/>
        </w:rPr>
        <w:t xml:space="preserve"> video slot. The treasure chest will turn on the Free Spins mode, the shark symbol will replace the other symbols and the Bubble Gamble will multiply the winnings. 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Ocean Reef™ have 5-reels, 3-rows and 20 winning lines. 3 or more Scatter symbols will trigger 15 Free Spins with x3 multiplier. Wild symbol appearing on reels, can substitute other symbols.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lineRule="auto" w:line="360" w:before="0" w:after="0"/>
        <w:contextualSpacing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Ocean Reef™ invites you to an underwater adventure.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Relax and admiring the beautiful coral reef.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Watch out, a shark is coming! Try to tame it and replace the other symbols.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Pirate chest lies in the depths of ocean, take advantage and find it.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>Dive into the depths of the ocean and have fun with sea animals.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7830" cy="260985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320" cy="26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pt;height:20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LibreOffice/6.1.3.2$Windows_x86 LibreOffice_project/86daf60bf00efa86ad547e59e09d6bb77c699acb</Application>
  <Pages>1</Pages>
  <Words>218</Words>
  <Characters>994</Characters>
  <CharactersWithSpaces>1195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2018-11-28T15:42:42Z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