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rFonts w:ascii="Arial" w:hAnsi="Arial"/>
        </w:rPr>
      </w:pPr>
      <w:r>
        <w:rPr>
          <w:rFonts w:ascii="Arial" w:hAnsi="Arial"/>
          <w:lang w:val="en-US"/>
        </w:rPr>
        <w:t>Aztec Adventure</w:t>
      </w:r>
      <w:r>
        <w:rPr>
          <w:rFonts w:ascii="Arial" w:hAnsi="Arial"/>
          <w:color w:val="222222"/>
          <w:lang w:val="en-US"/>
        </w:rPr>
        <w:t>™</w:t>
      </w:r>
      <w:bookmarkStart w:id="2" w:name="_GoBack"/>
      <w:bookmarkEnd w:id="2"/>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Aztec Adventure is a 3-reel, 3-row video slot with 27 ways to win. Ways to win means that players win any time they spin a winning combination from left to right on the reels. Winning combinations are achieved by landing identical symbols, at any position on adjacent reels, and in any form of ‘line’. Winning combinations start on the first reel on the left (excluding the SCATTER symbol) and run along to the last reel on the right. Only the highest winning combination of one symbol is paid out. Other combinations from the same symbol are rejected. Landing three or more SCATTER symbols on the reels will trigger 15 FREE SPINS. All 4 round symbols are STACKED symbols. If 9 identical round symbols land on the screen, then winning is tripled (x3).</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Landing three or more SCATTER symbols will trigger 15 FREE SPINS. If FREE SPINS are retriggered, the player unlocks 15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SCATTER symbols can appear on all reels. Only one SCATTER can appear on each reel. WILD and SCATTER symbols cannot appear on the same reel. Landing three or more SCATTER symbols will trigger 15 FREE SPINS. It is not possible to generate winnings by a combination of SCATTER symbols only.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WILDs can appear on all reels and substitute for all other symbols except for the SCATTER symbol. Only one WILD can appear on each reel. WILD and SCATTER symbols cannot appear simultaneously on the same reel. Combinations using only WILD symbols can create wins.</w:t>
      </w:r>
      <w:r>
        <w:rPr>
          <w:rFonts w:eastAsia="Times New Roman" w:cs="Times New Roman" w:ascii="Arial" w:hAnsi="Arial"/>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LibreOffice/6.1.3.2$Windows_x86 LibreOffice_project/86daf60bf00efa86ad547e59e09d6bb77c699acb</Application>
  <Pages>2</Pages>
  <Words>312</Words>
  <Characters>1506</Characters>
  <CharactersWithSpaces>1813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2018-11-27T09:02:00Z</dcterms:created>
  <dc:creator>Natalia Gajic</dc:creator>
  <dc:description/>
  <dc:language>pl-PL</dc:language>
  <cp:lastModifiedBy/>
  <dcterms:modified xsi:type="dcterms:W3CDTF">2020-03-23T13:38:17Z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